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CA" w:rsidRPr="00346CCA" w:rsidRDefault="00346CCA" w:rsidP="00346CCA">
      <w:pPr>
        <w:pBdr>
          <w:bottom w:val="single" w:sz="12" w:space="1" w:color="auto"/>
        </w:pBdr>
        <w:shd w:val="clear" w:color="auto" w:fill="FFFFFF"/>
        <w:spacing w:after="0" w:line="240" w:lineRule="auto"/>
        <w:rPr>
          <w:rFonts w:eastAsia="Times New Roman" w:cstheme="minorHAnsi"/>
          <w:color w:val="000000"/>
          <w:sz w:val="24"/>
          <w:szCs w:val="24"/>
          <w:bdr w:val="none" w:sz="0" w:space="0" w:color="auto" w:frame="1"/>
          <w:lang w:eastAsia="de-DE"/>
        </w:rPr>
      </w:pPr>
      <w:r w:rsidRPr="00346CCA">
        <w:rPr>
          <w:rFonts w:eastAsia="Times New Roman" w:cstheme="minorHAnsi"/>
          <w:color w:val="000000"/>
          <w:sz w:val="24"/>
          <w:szCs w:val="24"/>
          <w:bdr w:val="none" w:sz="0" w:space="0" w:color="auto" w:frame="1"/>
          <w:lang w:eastAsia="de-DE"/>
        </w:rPr>
        <w:t>18. Sonntag nach Trinitatis, Exodus 20, 1-17</w:t>
      </w:r>
    </w:p>
    <w:p w:rsidR="00346CCA" w:rsidRPr="00346CCA" w:rsidRDefault="00346CCA" w:rsidP="00346CCA">
      <w:pPr>
        <w:shd w:val="clear" w:color="auto" w:fill="FFFFFF"/>
        <w:spacing w:after="0" w:line="240" w:lineRule="auto"/>
        <w:rPr>
          <w:rFonts w:eastAsia="Times New Roman" w:cstheme="minorHAnsi"/>
          <w:color w:val="000000"/>
          <w:sz w:val="24"/>
          <w:szCs w:val="24"/>
          <w:bdr w:val="none" w:sz="0" w:space="0" w:color="auto" w:frame="1"/>
          <w:lang w:eastAsia="de-DE"/>
        </w:rPr>
      </w:pPr>
    </w:p>
    <w:p w:rsidR="00346CCA" w:rsidRPr="00346CCA" w:rsidRDefault="00346CCA" w:rsidP="00346CCA">
      <w:pPr>
        <w:shd w:val="clear" w:color="auto" w:fill="FFFFFF"/>
        <w:spacing w:after="0" w:line="240" w:lineRule="auto"/>
        <w:rPr>
          <w:rFonts w:eastAsia="Times New Roman" w:cstheme="minorHAnsi"/>
          <w:color w:val="000000"/>
          <w:sz w:val="24"/>
          <w:szCs w:val="24"/>
          <w:u w:val="single"/>
          <w:bdr w:val="none" w:sz="0" w:space="0" w:color="auto" w:frame="1"/>
          <w:lang w:eastAsia="de-DE"/>
        </w:rPr>
      </w:pPr>
      <w:r w:rsidRPr="00346CCA">
        <w:rPr>
          <w:rFonts w:eastAsia="Times New Roman" w:cstheme="minorHAnsi"/>
          <w:color w:val="000000"/>
          <w:sz w:val="24"/>
          <w:szCs w:val="24"/>
          <w:u w:val="single"/>
          <w:bdr w:val="none" w:sz="0" w:space="0" w:color="auto" w:frame="1"/>
          <w:lang w:eastAsia="de-DE"/>
        </w:rPr>
        <w:t xml:space="preserve">L. </w:t>
      </w:r>
      <w:proofErr w:type="spellStart"/>
      <w:r w:rsidRPr="00346CCA">
        <w:rPr>
          <w:rFonts w:eastAsia="Times New Roman" w:cstheme="minorHAnsi"/>
          <w:color w:val="000000"/>
          <w:sz w:val="24"/>
          <w:szCs w:val="24"/>
          <w:u w:val="single"/>
          <w:bdr w:val="none" w:sz="0" w:space="0" w:color="auto" w:frame="1"/>
          <w:lang w:eastAsia="de-DE"/>
        </w:rPr>
        <w:t>Ossa</w:t>
      </w:r>
      <w:proofErr w:type="spellEnd"/>
      <w:r w:rsidRPr="00346CCA">
        <w:rPr>
          <w:rFonts w:eastAsia="Times New Roman" w:cstheme="minorHAnsi"/>
          <w:color w:val="000000"/>
          <w:sz w:val="24"/>
          <w:szCs w:val="24"/>
          <w:u w:val="single"/>
          <w:bdr w:val="none" w:sz="0" w:space="0" w:color="auto" w:frame="1"/>
          <w:lang w:eastAsia="de-DE"/>
        </w:rPr>
        <w:t>:</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000000"/>
          <w:sz w:val="24"/>
          <w:szCs w:val="24"/>
          <w:bdr w:val="none" w:sz="0" w:space="0" w:color="auto" w:frame="1"/>
          <w:lang w:eastAsia="de-DE"/>
        </w:rPr>
        <w:t xml:space="preserve">Die </w:t>
      </w:r>
      <w:proofErr w:type="spellStart"/>
      <w:r w:rsidRPr="00346CCA">
        <w:rPr>
          <w:rFonts w:eastAsia="Times New Roman" w:cstheme="minorHAnsi"/>
          <w:color w:val="000000"/>
          <w:sz w:val="24"/>
          <w:szCs w:val="24"/>
          <w:bdr w:val="none" w:sz="0" w:space="0" w:color="auto" w:frame="1"/>
          <w:lang w:eastAsia="de-DE"/>
        </w:rPr>
        <w:t>Perikopenkommission</w:t>
      </w:r>
      <w:proofErr w:type="spellEnd"/>
      <w:r w:rsidRPr="00346CCA">
        <w:rPr>
          <w:rFonts w:eastAsia="Times New Roman" w:cstheme="minorHAnsi"/>
          <w:color w:val="000000"/>
          <w:sz w:val="24"/>
          <w:szCs w:val="24"/>
          <w:bdr w:val="none" w:sz="0" w:space="0" w:color="auto" w:frame="1"/>
          <w:lang w:eastAsia="de-DE"/>
        </w:rPr>
        <w:t xml:space="preserve"> der EKD hat einen Predigttext gewählt, der für  eine gängige Predigtdauer ungeeignet ist: viel zu lang. Um weder darüber </w:t>
      </w:r>
      <w:proofErr w:type="spellStart"/>
      <w:r w:rsidRPr="00346CCA">
        <w:rPr>
          <w:rFonts w:eastAsia="Times New Roman" w:cstheme="minorHAnsi"/>
          <w:color w:val="000000"/>
          <w:sz w:val="24"/>
          <w:szCs w:val="24"/>
          <w:bdr w:val="none" w:sz="0" w:space="0" w:color="auto" w:frame="1"/>
          <w:lang w:eastAsia="de-DE"/>
        </w:rPr>
        <w:t>hinwegzupreschen</w:t>
      </w:r>
      <w:proofErr w:type="spellEnd"/>
      <w:r w:rsidRPr="00346CCA">
        <w:rPr>
          <w:rFonts w:eastAsia="Times New Roman" w:cstheme="minorHAnsi"/>
          <w:color w:val="000000"/>
          <w:sz w:val="24"/>
          <w:szCs w:val="24"/>
          <w:bdr w:val="none" w:sz="0" w:space="0" w:color="auto" w:frame="1"/>
          <w:lang w:eastAsia="de-DE"/>
        </w:rPr>
        <w:t xml:space="preserve"> oder in endlose Vorträge zu verfallen, ist eine sinnvolle Auswahl erforderlich.</w:t>
      </w:r>
      <w:r>
        <w:rPr>
          <w:rFonts w:eastAsia="Times New Roman" w:cstheme="minorHAnsi"/>
          <w:color w:val="000000"/>
          <w:sz w:val="24"/>
          <w:szCs w:val="24"/>
          <w:bdr w:val="none" w:sz="0" w:space="0" w:color="auto" w:frame="1"/>
          <w:lang w:eastAsia="de-DE"/>
        </w:rPr>
        <w:t xml:space="preserve"> </w:t>
      </w:r>
      <w:bookmarkStart w:id="0" w:name="_GoBack"/>
      <w:bookmarkEnd w:id="0"/>
      <w:r w:rsidRPr="00346CCA">
        <w:rPr>
          <w:rFonts w:eastAsia="Times New Roman" w:cstheme="minorHAnsi"/>
          <w:color w:val="000000"/>
          <w:sz w:val="24"/>
          <w:szCs w:val="24"/>
          <w:bdr w:val="none" w:sz="0" w:space="0" w:color="auto" w:frame="1"/>
          <w:lang w:eastAsia="de-DE"/>
        </w:rPr>
        <w:t xml:space="preserve">Ich empfehle </w:t>
      </w:r>
      <w:proofErr w:type="spellStart"/>
      <w:r w:rsidRPr="00346CCA">
        <w:rPr>
          <w:rFonts w:eastAsia="Times New Roman" w:cstheme="minorHAnsi"/>
          <w:color w:val="000000"/>
          <w:sz w:val="24"/>
          <w:szCs w:val="24"/>
          <w:bdr w:val="none" w:sz="0" w:space="0" w:color="auto" w:frame="1"/>
          <w:lang w:eastAsia="de-DE"/>
        </w:rPr>
        <w:t>zB</w:t>
      </w:r>
      <w:proofErr w:type="spellEnd"/>
      <w:r w:rsidRPr="00346CCA">
        <w:rPr>
          <w:rFonts w:eastAsia="Times New Roman" w:cstheme="minorHAnsi"/>
          <w:color w:val="000000"/>
          <w:sz w:val="24"/>
          <w:szCs w:val="24"/>
          <w:bdr w:val="none" w:sz="0" w:space="0" w:color="auto" w:frame="1"/>
          <w:lang w:eastAsia="de-DE"/>
        </w:rPr>
        <w:t xml:space="preserve"> Ex 20, 1-4.</w:t>
      </w:r>
      <w:r w:rsidRPr="00346CCA">
        <w:rPr>
          <w:rFonts w:eastAsia="Times New Roman" w:cstheme="minorHAnsi"/>
          <w:color w:val="000000"/>
          <w:sz w:val="24"/>
          <w:szCs w:val="24"/>
          <w:bdr w:val="none" w:sz="0" w:space="0" w:color="auto" w:frame="1"/>
          <w:lang w:eastAsia="de-DE"/>
        </w:rPr>
        <w:br/>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000000"/>
          <w:sz w:val="24"/>
          <w:szCs w:val="24"/>
          <w:bdr w:val="none" w:sz="0" w:space="0" w:color="auto" w:frame="1"/>
          <w:lang w:eastAsia="de-DE"/>
        </w:rPr>
        <w:t>Das Buch Exodus nennt den Dekalog in Ex 34,28 das "</w:t>
      </w:r>
      <w:proofErr w:type="spellStart"/>
      <w:r w:rsidRPr="00346CCA">
        <w:rPr>
          <w:rFonts w:eastAsia="Times New Roman" w:cstheme="minorHAnsi"/>
          <w:color w:val="000000"/>
          <w:sz w:val="24"/>
          <w:szCs w:val="24"/>
          <w:bdr w:val="none" w:sz="0" w:space="0" w:color="auto" w:frame="1"/>
          <w:lang w:eastAsia="de-DE"/>
        </w:rPr>
        <w:t>Zehnwort</w:t>
      </w:r>
      <w:proofErr w:type="spellEnd"/>
      <w:r w:rsidRPr="00346CCA">
        <w:rPr>
          <w:rFonts w:eastAsia="Times New Roman" w:cstheme="minorHAnsi"/>
          <w:color w:val="000000"/>
          <w:sz w:val="24"/>
          <w:szCs w:val="24"/>
          <w:bdr w:val="none" w:sz="0" w:space="0" w:color="auto" w:frame="1"/>
          <w:lang w:eastAsia="de-DE"/>
        </w:rPr>
        <w:t xml:space="preserve">", die Bundesworte, die auf 2 Tafeln gemeißelt sein sollten. Es sind jedoch 13 Sätze des Kultrechts, mit späteren Überarbeitungen. Sie können auf 10 reduziert werden, wenn man die einzelne Nennung der 3 Jahresfeste als Erweiterung ansieht (RGG III, </w:t>
      </w:r>
      <w:proofErr w:type="spellStart"/>
      <w:r w:rsidRPr="00346CCA">
        <w:rPr>
          <w:rFonts w:eastAsia="Times New Roman" w:cstheme="minorHAnsi"/>
          <w:color w:val="000000"/>
          <w:sz w:val="24"/>
          <w:szCs w:val="24"/>
          <w:bdr w:val="none" w:sz="0" w:space="0" w:color="auto" w:frame="1"/>
          <w:lang w:eastAsia="de-DE"/>
        </w:rPr>
        <w:t>Bd</w:t>
      </w:r>
      <w:proofErr w:type="spellEnd"/>
      <w:r w:rsidRPr="00346CCA">
        <w:rPr>
          <w:rFonts w:eastAsia="Times New Roman" w:cstheme="minorHAnsi"/>
          <w:color w:val="000000"/>
          <w:sz w:val="24"/>
          <w:szCs w:val="24"/>
          <w:bdr w:val="none" w:sz="0" w:space="0" w:color="auto" w:frame="1"/>
          <w:lang w:eastAsia="de-DE"/>
        </w:rPr>
        <w:t xml:space="preserve"> 2, 69- 71).</w:t>
      </w:r>
      <w:r w:rsidRPr="00346CCA">
        <w:rPr>
          <w:rFonts w:eastAsia="Times New Roman" w:cstheme="minorHAnsi"/>
          <w:color w:val="000000"/>
          <w:sz w:val="24"/>
          <w:szCs w:val="24"/>
          <w:bdr w:val="none" w:sz="0" w:space="0" w:color="auto" w:frame="1"/>
          <w:lang w:eastAsia="de-DE"/>
        </w:rPr>
        <w:br/>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242424"/>
          <w:sz w:val="24"/>
          <w:szCs w:val="24"/>
          <w:lang w:eastAsia="de-DE"/>
        </w:rPr>
        <w:t> </w:t>
      </w:r>
      <w:r w:rsidRPr="00346CCA">
        <w:rPr>
          <w:rFonts w:eastAsia="Times New Roman" w:cstheme="minorHAnsi"/>
          <w:color w:val="000000"/>
          <w:sz w:val="24"/>
          <w:szCs w:val="24"/>
          <w:bdr w:val="none" w:sz="0" w:space="0" w:color="auto" w:frame="1"/>
          <w:lang w:eastAsia="de-DE"/>
        </w:rPr>
        <w:t>Homiletisch von Interesse sind für</w:t>
      </w:r>
      <w:r w:rsidRPr="00346CCA">
        <w:rPr>
          <w:rFonts w:eastAsia="Times New Roman" w:cstheme="minorHAnsi"/>
          <w:i/>
          <w:iCs/>
          <w:color w:val="000000"/>
          <w:sz w:val="24"/>
          <w:szCs w:val="24"/>
          <w:bdr w:val="none" w:sz="0" w:space="0" w:color="auto" w:frame="1"/>
          <w:lang w:eastAsia="de-DE"/>
        </w:rPr>
        <w:t> einen Gottesdienst </w:t>
      </w:r>
      <w:r w:rsidRPr="00346CCA">
        <w:rPr>
          <w:rFonts w:eastAsia="Times New Roman" w:cstheme="minorHAnsi"/>
          <w:color w:val="000000"/>
          <w:sz w:val="24"/>
          <w:szCs w:val="24"/>
          <w:bdr w:val="none" w:sz="0" w:space="0" w:color="auto" w:frame="1"/>
          <w:lang w:eastAsia="de-DE"/>
        </w:rPr>
        <w:t>die Selbst-Vorstellung Gottes, verbunden mit der Nennung der Befreiung aus der Sklaverei und die Verbote von Fremdkulten (V1-4).</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242424"/>
          <w:sz w:val="24"/>
          <w:szCs w:val="24"/>
          <w:lang w:eastAsia="de-DE"/>
        </w:rPr>
        <w:t> </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000000"/>
          <w:sz w:val="24"/>
          <w:szCs w:val="24"/>
          <w:bdr w:val="none" w:sz="0" w:space="0" w:color="auto" w:frame="1"/>
          <w:lang w:eastAsia="de-DE"/>
        </w:rPr>
        <w:t>1.)</w:t>
      </w:r>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000000"/>
          <w:sz w:val="24"/>
          <w:szCs w:val="24"/>
          <w:bdr w:val="none" w:sz="0" w:space="0" w:color="auto" w:frame="1"/>
          <w:lang w:eastAsia="de-DE"/>
        </w:rPr>
        <w:t>Dass in Ex 34,27f in dieser Version der Gebote Gott den "Bund mit Dir Israel" schließt, wirft die Frage auf, ob außerhalb "Israel" dieser</w:t>
      </w:r>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242424"/>
          <w:sz w:val="24"/>
          <w:szCs w:val="24"/>
          <w:lang w:eastAsia="de-DE"/>
        </w:rPr>
        <w:t> </w:t>
      </w:r>
      <w:r w:rsidRPr="00346CCA">
        <w:rPr>
          <w:rFonts w:eastAsia="Times New Roman" w:cstheme="minorHAnsi"/>
          <w:color w:val="000000"/>
          <w:sz w:val="24"/>
          <w:szCs w:val="24"/>
          <w:bdr w:val="none" w:sz="0" w:space="0" w:color="auto" w:frame="1"/>
          <w:lang w:eastAsia="de-DE"/>
        </w:rPr>
        <w:t xml:space="preserve">Bund gilt, </w:t>
      </w:r>
      <w:proofErr w:type="spellStart"/>
      <w:r w:rsidRPr="00346CCA">
        <w:rPr>
          <w:rFonts w:eastAsia="Times New Roman" w:cstheme="minorHAnsi"/>
          <w:color w:val="000000"/>
          <w:sz w:val="24"/>
          <w:szCs w:val="24"/>
          <w:bdr w:val="none" w:sz="0" w:space="0" w:color="auto" w:frame="1"/>
          <w:lang w:eastAsia="de-DE"/>
        </w:rPr>
        <w:t>zB</w:t>
      </w:r>
      <w:proofErr w:type="spellEnd"/>
      <w:r w:rsidRPr="00346CCA">
        <w:rPr>
          <w:rFonts w:eastAsia="Times New Roman" w:cstheme="minorHAnsi"/>
          <w:color w:val="000000"/>
          <w:sz w:val="24"/>
          <w:szCs w:val="24"/>
          <w:bdr w:val="none" w:sz="0" w:space="0" w:color="auto" w:frame="1"/>
          <w:lang w:eastAsia="de-DE"/>
        </w:rPr>
        <w:t xml:space="preserve"> mit der Kirche Jesu Christi, wie 2 Jahrtausende lang die Kirche in aller Selbstverstä</w:t>
      </w:r>
      <w:r>
        <w:rPr>
          <w:rFonts w:eastAsia="Times New Roman" w:cstheme="minorHAnsi"/>
          <w:color w:val="000000"/>
          <w:sz w:val="24"/>
          <w:szCs w:val="24"/>
          <w:bdr w:val="none" w:sz="0" w:space="0" w:color="auto" w:frame="1"/>
          <w:lang w:eastAsia="de-DE"/>
        </w:rPr>
        <w:t>n</w:t>
      </w:r>
      <w:r w:rsidRPr="00346CCA">
        <w:rPr>
          <w:rFonts w:eastAsia="Times New Roman" w:cstheme="minorHAnsi"/>
          <w:color w:val="000000"/>
          <w:sz w:val="24"/>
          <w:szCs w:val="24"/>
          <w:bdr w:val="none" w:sz="0" w:space="0" w:color="auto" w:frame="1"/>
          <w:lang w:eastAsia="de-DE"/>
        </w:rPr>
        <w:t>dlichkeit angenommen hat</w:t>
      </w:r>
      <w:r>
        <w:rPr>
          <w:rFonts w:eastAsia="Times New Roman" w:cstheme="minorHAnsi"/>
          <w:color w:val="000000"/>
          <w:sz w:val="24"/>
          <w:szCs w:val="24"/>
          <w:bdr w:val="none" w:sz="0" w:space="0" w:color="auto" w:frame="1"/>
          <w:lang w:eastAsia="de-DE"/>
        </w:rPr>
        <w:t xml:space="preserve">. Dies wurde </w:t>
      </w:r>
      <w:proofErr w:type="spellStart"/>
      <w:r>
        <w:rPr>
          <w:rFonts w:eastAsia="Times New Roman" w:cstheme="minorHAnsi"/>
          <w:color w:val="000000"/>
          <w:sz w:val="24"/>
          <w:szCs w:val="24"/>
          <w:bdr w:val="none" w:sz="0" w:space="0" w:color="auto" w:frame="1"/>
          <w:lang w:eastAsia="de-DE"/>
        </w:rPr>
        <w:t>berechtigtermaßen</w:t>
      </w:r>
      <w:proofErr w:type="spellEnd"/>
      <w:r>
        <w:rPr>
          <w:rFonts w:eastAsia="Times New Roman" w:cstheme="minorHAnsi"/>
          <w:color w:val="000000"/>
          <w:sz w:val="24"/>
          <w:szCs w:val="24"/>
          <w:bdr w:val="none" w:sz="0" w:space="0" w:color="auto" w:frame="1"/>
          <w:lang w:eastAsia="de-DE"/>
        </w:rPr>
        <w:t> </w:t>
      </w:r>
      <w:r w:rsidRPr="00346CCA">
        <w:rPr>
          <w:rFonts w:eastAsia="Times New Roman" w:cstheme="minorHAnsi"/>
          <w:color w:val="000000"/>
          <w:sz w:val="24"/>
          <w:szCs w:val="24"/>
          <w:bdr w:val="none" w:sz="0" w:space="0" w:color="auto" w:frame="1"/>
          <w:lang w:eastAsia="de-DE"/>
        </w:rPr>
        <w:t>in der jüdischen Forschung </w:t>
      </w:r>
      <w:r w:rsidRPr="00346CCA">
        <w:rPr>
          <w:rFonts w:eastAsia="Times New Roman" w:cstheme="minorHAnsi"/>
          <w:i/>
          <w:iCs/>
          <w:color w:val="000000"/>
          <w:sz w:val="24"/>
          <w:szCs w:val="24"/>
          <w:bdr w:val="none" w:sz="0" w:space="0" w:color="auto" w:frame="1"/>
          <w:lang w:eastAsia="de-DE"/>
        </w:rPr>
        <w:t>nach</w:t>
      </w:r>
      <w:r w:rsidRPr="00346CCA">
        <w:rPr>
          <w:rFonts w:eastAsia="Times New Roman" w:cstheme="minorHAnsi"/>
          <w:color w:val="000000"/>
          <w:sz w:val="24"/>
          <w:szCs w:val="24"/>
          <w:bdr w:val="none" w:sz="0" w:space="0" w:color="auto" w:frame="1"/>
          <w:lang w:eastAsia="de-DE"/>
        </w:rPr>
        <w:t xml:space="preserve"> dem Holocaust in Frage gestellt </w:t>
      </w:r>
      <w:r>
        <w:rPr>
          <w:rFonts w:eastAsia="Times New Roman" w:cstheme="minorHAnsi"/>
          <w:color w:val="000000"/>
          <w:sz w:val="24"/>
          <w:szCs w:val="24"/>
          <w:bdr w:val="none" w:sz="0" w:space="0" w:color="auto" w:frame="1"/>
          <w:lang w:eastAsia="de-DE"/>
        </w:rPr>
        <w:t xml:space="preserve">(s. Abraham und Susanna </w:t>
      </w:r>
      <w:proofErr w:type="spellStart"/>
      <w:r>
        <w:rPr>
          <w:rFonts w:eastAsia="Times New Roman" w:cstheme="minorHAnsi"/>
          <w:color w:val="000000"/>
          <w:sz w:val="24"/>
          <w:szCs w:val="24"/>
          <w:bdr w:val="none" w:sz="0" w:space="0" w:color="auto" w:frame="1"/>
          <w:lang w:eastAsia="de-DE"/>
        </w:rPr>
        <w:t>Heschel</w:t>
      </w:r>
      <w:proofErr w:type="spellEnd"/>
      <w:r w:rsidRPr="00346CCA">
        <w:rPr>
          <w:rFonts w:eastAsia="Times New Roman" w:cstheme="minorHAnsi"/>
          <w:color w:val="000000"/>
          <w:sz w:val="24"/>
          <w:szCs w:val="24"/>
          <w:bdr w:val="none" w:sz="0" w:space="0" w:color="auto" w:frame="1"/>
          <w:lang w:eastAsia="de-DE"/>
        </w:rPr>
        <w:t>, dazu Literaturangaben unter S.</w:t>
      </w:r>
      <w:r>
        <w:rPr>
          <w:rFonts w:eastAsia="Times New Roman" w:cstheme="minorHAnsi"/>
          <w:color w:val="000000"/>
          <w:sz w:val="24"/>
          <w:szCs w:val="24"/>
          <w:bdr w:val="none" w:sz="0" w:space="0" w:color="auto" w:frame="1"/>
          <w:lang w:eastAsia="de-DE"/>
        </w:rPr>
        <w:t xml:space="preserve"> </w:t>
      </w:r>
      <w:proofErr w:type="spellStart"/>
      <w:r w:rsidRPr="00346CCA">
        <w:rPr>
          <w:rFonts w:eastAsia="Times New Roman" w:cstheme="minorHAnsi"/>
          <w:color w:val="000000"/>
          <w:sz w:val="24"/>
          <w:szCs w:val="24"/>
          <w:bdr w:val="none" w:sz="0" w:space="0" w:color="auto" w:frame="1"/>
          <w:lang w:eastAsia="de-DE"/>
        </w:rPr>
        <w:t>Heschel</w:t>
      </w:r>
      <w:proofErr w:type="spellEnd"/>
      <w:r w:rsidRPr="00346CCA">
        <w:rPr>
          <w:rFonts w:eastAsia="Times New Roman" w:cstheme="minorHAnsi"/>
          <w:color w:val="000000"/>
          <w:sz w:val="24"/>
          <w:szCs w:val="24"/>
          <w:bdr w:val="none" w:sz="0" w:space="0" w:color="auto" w:frame="1"/>
          <w:lang w:eastAsia="de-DE"/>
        </w:rPr>
        <w:t>).</w:t>
      </w:r>
    </w:p>
    <w:p w:rsidR="00346CCA" w:rsidRPr="00346CCA" w:rsidRDefault="00346CCA" w:rsidP="00346CCA">
      <w:pPr>
        <w:shd w:val="clear" w:color="auto" w:fill="FFFFFF"/>
        <w:spacing w:after="0" w:line="240" w:lineRule="auto"/>
        <w:textAlignment w:val="baseline"/>
        <w:rPr>
          <w:rFonts w:eastAsia="Times New Roman" w:cstheme="minorHAnsi"/>
          <w:color w:val="242424"/>
          <w:sz w:val="24"/>
          <w:szCs w:val="24"/>
          <w:lang w:eastAsia="de-DE"/>
        </w:rPr>
      </w:pPr>
      <w:r w:rsidRPr="00346CCA">
        <w:rPr>
          <w:rFonts w:eastAsia="Times New Roman" w:cstheme="minorHAnsi"/>
          <w:color w:val="242424"/>
          <w:sz w:val="24"/>
          <w:szCs w:val="24"/>
          <w:lang w:eastAsia="de-DE"/>
        </w:rPr>
        <w:t> </w:t>
      </w:r>
    </w:p>
    <w:p w:rsidR="00346CCA" w:rsidRPr="00346CCA" w:rsidRDefault="00346CCA" w:rsidP="00346CCA">
      <w:pPr>
        <w:shd w:val="clear" w:color="auto" w:fill="FFFFFF"/>
        <w:spacing w:after="0" w:line="240" w:lineRule="auto"/>
        <w:textAlignment w:val="baseline"/>
        <w:rPr>
          <w:rFonts w:eastAsia="Times New Roman" w:cstheme="minorHAnsi"/>
          <w:color w:val="242424"/>
          <w:sz w:val="24"/>
          <w:szCs w:val="24"/>
          <w:lang w:eastAsia="de-DE"/>
        </w:rPr>
      </w:pPr>
      <w:r>
        <w:rPr>
          <w:rFonts w:eastAsia="Times New Roman" w:cstheme="minorHAnsi"/>
          <w:color w:val="000000"/>
          <w:sz w:val="24"/>
          <w:szCs w:val="24"/>
          <w:bdr w:val="none" w:sz="0" w:space="0" w:color="auto" w:frame="1"/>
          <w:lang w:eastAsia="de-DE"/>
        </w:rPr>
        <w:t>Ab + 175 erscheint die antike Schrift</w:t>
      </w:r>
      <w:r w:rsidRPr="00346CCA">
        <w:rPr>
          <w:rFonts w:eastAsia="Times New Roman" w:cstheme="minorHAnsi"/>
          <w:color w:val="000000"/>
          <w:sz w:val="24"/>
          <w:szCs w:val="24"/>
          <w:bdr w:val="none" w:sz="0" w:space="0" w:color="auto" w:frame="1"/>
          <w:lang w:eastAsia="de-DE"/>
        </w:rPr>
        <w:t xml:space="preserve"> "</w:t>
      </w:r>
      <w:proofErr w:type="spellStart"/>
      <w:r w:rsidRPr="00346CCA">
        <w:rPr>
          <w:rFonts w:eastAsia="Times New Roman" w:cstheme="minorHAnsi"/>
          <w:color w:val="000000"/>
          <w:sz w:val="24"/>
          <w:szCs w:val="24"/>
          <w:bdr w:val="none" w:sz="0" w:space="0" w:color="auto" w:frame="1"/>
          <w:lang w:eastAsia="de-DE"/>
        </w:rPr>
        <w:t>Adversus</w:t>
      </w:r>
      <w:proofErr w:type="spellEnd"/>
      <w:r w:rsidRPr="00346CCA">
        <w:rPr>
          <w:rFonts w:eastAsia="Times New Roman" w:cstheme="minorHAnsi"/>
          <w:color w:val="000000"/>
          <w:sz w:val="24"/>
          <w:szCs w:val="24"/>
          <w:bdr w:val="none" w:sz="0" w:space="0" w:color="auto" w:frame="1"/>
          <w:lang w:eastAsia="de-DE"/>
        </w:rPr>
        <w:t xml:space="preserve"> </w:t>
      </w:r>
      <w:proofErr w:type="spellStart"/>
      <w:r w:rsidRPr="00346CCA">
        <w:rPr>
          <w:rFonts w:eastAsia="Times New Roman" w:cstheme="minorHAnsi"/>
          <w:color w:val="000000"/>
          <w:sz w:val="24"/>
          <w:szCs w:val="24"/>
          <w:bdr w:val="none" w:sz="0" w:space="0" w:color="auto" w:frame="1"/>
          <w:lang w:eastAsia="de-DE"/>
        </w:rPr>
        <w:t>Judaeos</w:t>
      </w:r>
      <w:proofErr w:type="spellEnd"/>
      <w:r w:rsidRPr="00346CCA">
        <w:rPr>
          <w:rFonts w:eastAsia="Times New Roman" w:cstheme="minorHAnsi"/>
          <w:color w:val="000000"/>
          <w:sz w:val="24"/>
          <w:szCs w:val="24"/>
          <w:bdr w:val="none" w:sz="0" w:space="0" w:color="auto" w:frame="1"/>
          <w:lang w:eastAsia="de-DE"/>
        </w:rPr>
        <w:t>" von Tertullian. Ob auf jüdischer Seite ebenso die Trennung jüdischer von christlichen Gruppen interessierte, sollte untersucht werden. Belegt ist auf jeden Fall, dass unter dem Druck des römischen Staates von christlicher Seite das Interesse Ende des 1. Jahrhunderts und danach wächst, sich als nichtjüdisch zu definieren.</w:t>
      </w:r>
      <w:r>
        <w:rPr>
          <w:rFonts w:eastAsia="Times New Roman" w:cstheme="minorHAnsi"/>
          <w:color w:val="000000"/>
          <w:sz w:val="24"/>
          <w:szCs w:val="24"/>
          <w:bdr w:val="none" w:sz="0" w:space="0" w:color="auto" w:frame="1"/>
          <w:lang w:eastAsia="de-DE"/>
        </w:rPr>
        <w:t xml:space="preserve"> Ist es</w:t>
      </w:r>
      <w:r w:rsidRPr="00346CCA">
        <w:rPr>
          <w:rFonts w:eastAsia="Times New Roman" w:cstheme="minorHAnsi"/>
          <w:color w:val="000000"/>
          <w:sz w:val="24"/>
          <w:szCs w:val="24"/>
          <w:bdr w:val="none" w:sz="0" w:space="0" w:color="auto" w:frame="1"/>
          <w:lang w:eastAsia="de-DE"/>
        </w:rPr>
        <w:t>, um nicht dem Imperium die "Judensteuer"</w:t>
      </w:r>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000000"/>
          <w:sz w:val="24"/>
          <w:szCs w:val="24"/>
          <w:bdr w:val="none" w:sz="0" w:space="0" w:color="auto" w:frame="1"/>
          <w:lang w:eastAsia="de-DE"/>
        </w:rPr>
        <w:t>zahlen zu müssen? od</w:t>
      </w:r>
      <w:r>
        <w:rPr>
          <w:rFonts w:eastAsia="Times New Roman" w:cstheme="minorHAnsi"/>
          <w:color w:val="000000"/>
          <w:sz w:val="24"/>
          <w:szCs w:val="24"/>
          <w:bdr w:val="none" w:sz="0" w:space="0" w:color="auto" w:frame="1"/>
          <w:lang w:eastAsia="de-DE"/>
        </w:rPr>
        <w:t>er reine Lust, sich auf Kosten a</w:t>
      </w:r>
      <w:r w:rsidRPr="00346CCA">
        <w:rPr>
          <w:rFonts w:eastAsia="Times New Roman" w:cstheme="minorHAnsi"/>
          <w:color w:val="000000"/>
          <w:sz w:val="24"/>
          <w:szCs w:val="24"/>
          <w:bdr w:val="none" w:sz="0" w:space="0" w:color="auto" w:frame="1"/>
          <w:lang w:eastAsia="de-DE"/>
        </w:rPr>
        <w:t>nderer zu profilieren? Für die weitere Zeit können Zitate aus antiker kirchlicher Überlieferung einen Einblick in den "Antijudaismus in der Kirchengeschichte" liefern, s. dort im Netz.</w:t>
      </w:r>
      <w:r w:rsidRPr="00346CCA">
        <w:rPr>
          <w:rFonts w:eastAsia="Times New Roman" w:cstheme="minorHAnsi"/>
          <w:color w:val="000000"/>
          <w:sz w:val="24"/>
          <w:szCs w:val="24"/>
          <w:bdr w:val="none" w:sz="0" w:space="0" w:color="auto" w:frame="1"/>
          <w:lang w:eastAsia="de-DE"/>
        </w:rPr>
        <w:br/>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242424"/>
          <w:sz w:val="24"/>
          <w:szCs w:val="24"/>
          <w:lang w:eastAsia="de-DE"/>
        </w:rPr>
        <w:t> </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000000"/>
          <w:sz w:val="24"/>
          <w:szCs w:val="24"/>
          <w:bdr w:val="none" w:sz="0" w:space="0" w:color="auto" w:frame="1"/>
          <w:lang w:eastAsia="de-DE"/>
        </w:rPr>
        <w:t>Als</w:t>
      </w:r>
      <w:r w:rsidRPr="00346CCA">
        <w:rPr>
          <w:rFonts w:eastAsia="Times New Roman" w:cstheme="minorHAnsi"/>
          <w:i/>
          <w:iCs/>
          <w:color w:val="000000"/>
          <w:sz w:val="24"/>
          <w:szCs w:val="24"/>
          <w:bdr w:val="none" w:sz="0" w:space="0" w:color="auto" w:frame="1"/>
          <w:lang w:eastAsia="de-DE"/>
        </w:rPr>
        <w:t> eine</w:t>
      </w:r>
      <w:r w:rsidRPr="00346CCA">
        <w:rPr>
          <w:rFonts w:eastAsia="Times New Roman" w:cstheme="minorHAnsi"/>
          <w:color w:val="000000"/>
          <w:sz w:val="24"/>
          <w:szCs w:val="24"/>
          <w:bdr w:val="none" w:sz="0" w:space="0" w:color="auto" w:frame="1"/>
          <w:lang w:eastAsia="de-DE"/>
        </w:rPr>
        <w:t xml:space="preserve"> Reaktion darauf hat sich die </w:t>
      </w:r>
      <w:proofErr w:type="spellStart"/>
      <w:r w:rsidRPr="00346CCA">
        <w:rPr>
          <w:rFonts w:eastAsia="Times New Roman" w:cstheme="minorHAnsi"/>
          <w:color w:val="000000"/>
          <w:sz w:val="24"/>
          <w:szCs w:val="24"/>
          <w:bdr w:val="none" w:sz="0" w:space="0" w:color="auto" w:frame="1"/>
          <w:lang w:eastAsia="de-DE"/>
        </w:rPr>
        <w:t>EvKirche</w:t>
      </w:r>
      <w:proofErr w:type="spellEnd"/>
      <w:r w:rsidRPr="00346CCA">
        <w:rPr>
          <w:rFonts w:eastAsia="Times New Roman" w:cstheme="minorHAnsi"/>
          <w:color w:val="000000"/>
          <w:sz w:val="24"/>
          <w:szCs w:val="24"/>
          <w:bdr w:val="none" w:sz="0" w:space="0" w:color="auto" w:frame="1"/>
          <w:lang w:eastAsia="de-DE"/>
        </w:rPr>
        <w:t xml:space="preserve"> in Hessen und Nassau in einigen Studien und vor allem als Kirchensynode im Jahr 1991 geäußert und ihre "</w:t>
      </w:r>
      <w:r w:rsidRPr="00346CCA">
        <w:rPr>
          <w:rFonts w:eastAsia="Times New Roman" w:cstheme="minorHAnsi"/>
          <w:b/>
          <w:bCs/>
          <w:color w:val="000000"/>
          <w:sz w:val="24"/>
          <w:szCs w:val="24"/>
          <w:bdr w:val="none" w:sz="0" w:space="0" w:color="auto" w:frame="1"/>
          <w:lang w:eastAsia="de-DE"/>
        </w:rPr>
        <w:t>Grundordnung" ergänzt: </w:t>
      </w:r>
      <w:r w:rsidRPr="00346CCA">
        <w:rPr>
          <w:rFonts w:eastAsia="Times New Roman" w:cstheme="minorHAnsi"/>
          <w:color w:val="000000"/>
          <w:sz w:val="24"/>
          <w:szCs w:val="24"/>
          <w:bdr w:val="none" w:sz="0" w:space="0" w:color="auto" w:frame="1"/>
          <w:lang w:eastAsia="de-DE"/>
        </w:rPr>
        <w:t>"Aus Blindheit und Schuld zur Umkehr g</w:t>
      </w:r>
      <w:r>
        <w:rPr>
          <w:rFonts w:eastAsia="Times New Roman" w:cstheme="minorHAnsi"/>
          <w:color w:val="000000"/>
          <w:sz w:val="24"/>
          <w:szCs w:val="24"/>
          <w:bdr w:val="none" w:sz="0" w:space="0" w:color="auto" w:frame="1"/>
          <w:lang w:eastAsia="de-DE"/>
        </w:rPr>
        <w:t>erufen, bezeugt sie (die EKHN) </w:t>
      </w:r>
      <w:r w:rsidRPr="00346CCA">
        <w:rPr>
          <w:rFonts w:eastAsia="Times New Roman" w:cstheme="minorHAnsi"/>
          <w:color w:val="000000"/>
          <w:sz w:val="24"/>
          <w:szCs w:val="24"/>
          <w:bdr w:val="none" w:sz="0" w:space="0" w:color="auto" w:frame="1"/>
          <w:lang w:eastAsia="de-DE"/>
        </w:rPr>
        <w:t>die bleibende Erwählung der Juden und Gottes Bund mit ihnen".</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000000"/>
          <w:sz w:val="24"/>
          <w:szCs w:val="24"/>
          <w:bdr w:val="none" w:sz="0" w:space="0" w:color="auto" w:frame="1"/>
          <w:lang w:eastAsia="de-DE"/>
        </w:rPr>
        <w:t>Dies sollte</w:t>
      </w:r>
      <w:r w:rsidRPr="00346CCA">
        <w:rPr>
          <w:rFonts w:eastAsia="Times New Roman" w:cstheme="minorHAnsi"/>
          <w:i/>
          <w:iCs/>
          <w:color w:val="000000"/>
          <w:sz w:val="24"/>
          <w:szCs w:val="24"/>
          <w:bdr w:val="none" w:sz="0" w:space="0" w:color="auto" w:frame="1"/>
          <w:lang w:eastAsia="de-DE"/>
        </w:rPr>
        <w:t> die EK</w:t>
      </w:r>
      <w:r w:rsidRPr="00346CCA">
        <w:rPr>
          <w:rFonts w:eastAsia="Times New Roman" w:cstheme="minorHAnsi"/>
          <w:b/>
          <w:bCs/>
          <w:i/>
          <w:iCs/>
          <w:color w:val="000000"/>
          <w:sz w:val="24"/>
          <w:szCs w:val="24"/>
          <w:bdr w:val="none" w:sz="0" w:space="0" w:color="auto" w:frame="1"/>
          <w:lang w:eastAsia="de-DE"/>
        </w:rPr>
        <w:t>D</w:t>
      </w:r>
      <w:r w:rsidRPr="00346CCA">
        <w:rPr>
          <w:rFonts w:eastAsia="Times New Roman" w:cstheme="minorHAnsi"/>
          <w:i/>
          <w:iCs/>
          <w:color w:val="000000"/>
          <w:sz w:val="24"/>
          <w:szCs w:val="24"/>
          <w:bdr w:val="none" w:sz="0" w:space="0" w:color="auto" w:frame="1"/>
          <w:lang w:eastAsia="de-DE"/>
        </w:rPr>
        <w:t> als Ganze nachholen: der Bund Gottes mit Israel ist eben</w:t>
      </w:r>
      <w:r w:rsidRPr="00346CCA">
        <w:rPr>
          <w:rFonts w:eastAsia="Times New Roman" w:cstheme="minorHAnsi"/>
          <w:color w:val="000000"/>
          <w:sz w:val="24"/>
          <w:szCs w:val="24"/>
          <w:bdr w:val="none" w:sz="0" w:space="0" w:color="auto" w:frame="1"/>
          <w:lang w:eastAsia="de-DE"/>
        </w:rPr>
        <w:t xml:space="preserve"> nicht automatisch der Bund Gottes mit der Kirche Jesu Christi. Wir als Kirche sind da zunächst außen vor, und die Frage nach dem Bund Gottes auch mit uns als Kirche </w:t>
      </w:r>
      <w:proofErr w:type="spellStart"/>
      <w:r w:rsidRPr="00346CCA">
        <w:rPr>
          <w:rFonts w:eastAsia="Times New Roman" w:cstheme="minorHAnsi"/>
          <w:color w:val="000000"/>
          <w:sz w:val="24"/>
          <w:szCs w:val="24"/>
          <w:bdr w:val="none" w:sz="0" w:space="0" w:color="auto" w:frame="1"/>
          <w:lang w:eastAsia="de-DE"/>
        </w:rPr>
        <w:t>muß</w:t>
      </w:r>
      <w:proofErr w:type="spellEnd"/>
      <w:r w:rsidRPr="00346CCA">
        <w:rPr>
          <w:rFonts w:eastAsia="Times New Roman" w:cstheme="minorHAnsi"/>
          <w:color w:val="000000"/>
          <w:sz w:val="24"/>
          <w:szCs w:val="24"/>
          <w:bdr w:val="none" w:sz="0" w:space="0" w:color="auto" w:frame="1"/>
          <w:lang w:eastAsia="de-DE"/>
        </w:rPr>
        <w:t xml:space="preserve"> ständig neu gestellt werden.</w:t>
      </w:r>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000000"/>
          <w:sz w:val="24"/>
          <w:szCs w:val="24"/>
          <w:bdr w:val="none" w:sz="0" w:space="0" w:color="auto" w:frame="1"/>
          <w:lang w:eastAsia="de-DE"/>
        </w:rPr>
        <w:t>Historisch war es so, dass die neutestamentlichen Schriften ganz selbstverständlich die I</w:t>
      </w:r>
      <w:r>
        <w:rPr>
          <w:rFonts w:eastAsia="Times New Roman" w:cstheme="minorHAnsi"/>
          <w:color w:val="000000"/>
          <w:sz w:val="24"/>
          <w:szCs w:val="24"/>
          <w:bdr w:val="none" w:sz="0" w:space="0" w:color="auto" w:frame="1"/>
          <w:lang w:eastAsia="de-DE"/>
        </w:rPr>
        <w:t>nterpretation des Alten Testa</w:t>
      </w:r>
      <w:r w:rsidRPr="00346CCA">
        <w:rPr>
          <w:rFonts w:eastAsia="Times New Roman" w:cstheme="minorHAnsi"/>
          <w:color w:val="000000"/>
          <w:sz w:val="24"/>
          <w:szCs w:val="24"/>
          <w:bdr w:val="none" w:sz="0" w:space="0" w:color="auto" w:frame="1"/>
          <w:lang w:eastAsia="de-DE"/>
        </w:rPr>
        <w:t>ments </w:t>
      </w:r>
      <w:r w:rsidRPr="00346CCA">
        <w:rPr>
          <w:rFonts w:eastAsia="Times New Roman" w:cstheme="minorHAnsi"/>
          <w:i/>
          <w:iCs/>
          <w:color w:val="000000"/>
          <w:sz w:val="24"/>
          <w:szCs w:val="24"/>
          <w:bdr w:val="none" w:sz="0" w:space="0" w:color="auto" w:frame="1"/>
          <w:lang w:eastAsia="de-DE"/>
        </w:rPr>
        <w:t>fortgesetz</w:t>
      </w:r>
      <w:r w:rsidRPr="00346CCA">
        <w:rPr>
          <w:rFonts w:eastAsia="Times New Roman" w:cstheme="minorHAnsi"/>
          <w:color w:val="000000"/>
          <w:sz w:val="24"/>
          <w:szCs w:val="24"/>
          <w:bdr w:val="none" w:sz="0" w:space="0" w:color="auto" w:frame="1"/>
          <w:lang w:eastAsia="de-DE"/>
        </w:rPr>
        <w:t>t haben:</w:t>
      </w:r>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000000"/>
          <w:sz w:val="24"/>
          <w:szCs w:val="24"/>
          <w:bdr w:val="none" w:sz="0" w:space="0" w:color="auto" w:frame="1"/>
          <w:lang w:eastAsia="de-DE"/>
        </w:rPr>
        <w:t xml:space="preserve">Der Dekalog </w:t>
      </w:r>
      <w:proofErr w:type="spellStart"/>
      <w:r w:rsidRPr="00346CCA">
        <w:rPr>
          <w:rFonts w:eastAsia="Times New Roman" w:cstheme="minorHAnsi"/>
          <w:color w:val="000000"/>
          <w:sz w:val="24"/>
          <w:szCs w:val="24"/>
          <w:bdr w:val="none" w:sz="0" w:space="0" w:color="auto" w:frame="1"/>
          <w:lang w:eastAsia="de-DE"/>
        </w:rPr>
        <w:t>zB</w:t>
      </w:r>
      <w:proofErr w:type="spellEnd"/>
      <w:r w:rsidRPr="00346CCA">
        <w:rPr>
          <w:rFonts w:eastAsia="Times New Roman" w:cstheme="minorHAnsi"/>
          <w:i/>
          <w:iCs/>
          <w:color w:val="000000"/>
          <w:sz w:val="24"/>
          <w:szCs w:val="24"/>
          <w:bdr w:val="none" w:sz="0" w:space="0" w:color="auto" w:frame="1"/>
          <w:lang w:eastAsia="de-DE"/>
        </w:rPr>
        <w:t> interpretiert</w:t>
      </w:r>
      <w:r w:rsidRPr="00346CCA">
        <w:rPr>
          <w:rFonts w:eastAsia="Times New Roman" w:cstheme="minorHAnsi"/>
          <w:color w:val="000000"/>
          <w:sz w:val="24"/>
          <w:szCs w:val="24"/>
          <w:bdr w:val="none" w:sz="0" w:space="0" w:color="auto" w:frame="1"/>
          <w:lang w:eastAsia="de-DE"/>
        </w:rPr>
        <w:t xml:space="preserve"> in </w:t>
      </w:r>
      <w:proofErr w:type="spellStart"/>
      <w:r w:rsidRPr="00346CCA">
        <w:rPr>
          <w:rFonts w:eastAsia="Times New Roman" w:cstheme="minorHAnsi"/>
          <w:color w:val="000000"/>
          <w:sz w:val="24"/>
          <w:szCs w:val="24"/>
          <w:bdr w:val="none" w:sz="0" w:space="0" w:color="auto" w:frame="1"/>
          <w:lang w:eastAsia="de-DE"/>
        </w:rPr>
        <w:t>Dtn</w:t>
      </w:r>
      <w:proofErr w:type="spellEnd"/>
      <w:r w:rsidRPr="00346CCA">
        <w:rPr>
          <w:rFonts w:eastAsia="Times New Roman" w:cstheme="minorHAnsi"/>
          <w:color w:val="000000"/>
          <w:sz w:val="24"/>
          <w:szCs w:val="24"/>
          <w:bdr w:val="none" w:sz="0" w:space="0" w:color="auto" w:frame="1"/>
          <w:lang w:eastAsia="de-DE"/>
        </w:rPr>
        <w:t xml:space="preserve"> 5, 6ff auch Ex</w:t>
      </w:r>
      <w:r>
        <w:rPr>
          <w:rFonts w:eastAsia="Times New Roman" w:cstheme="minorHAnsi"/>
          <w:color w:val="000000"/>
          <w:sz w:val="24"/>
          <w:szCs w:val="24"/>
          <w:bdr w:val="none" w:sz="0" w:space="0" w:color="auto" w:frame="1"/>
          <w:lang w:eastAsia="de-DE"/>
        </w:rPr>
        <w:t>odus 20. Dieser Auslegungsprozess</w:t>
      </w:r>
      <w:r w:rsidRPr="00346CCA">
        <w:rPr>
          <w:rFonts w:eastAsia="Times New Roman" w:cstheme="minorHAnsi"/>
          <w:color w:val="000000"/>
          <w:sz w:val="24"/>
          <w:szCs w:val="24"/>
          <w:bdr w:val="none" w:sz="0" w:space="0" w:color="auto" w:frame="1"/>
          <w:lang w:eastAsia="de-DE"/>
        </w:rPr>
        <w:t xml:space="preserve"> setzt sich fort </w:t>
      </w:r>
      <w:proofErr w:type="spellStart"/>
      <w:r w:rsidRPr="00346CCA">
        <w:rPr>
          <w:rFonts w:eastAsia="Times New Roman" w:cstheme="minorHAnsi"/>
          <w:color w:val="000000"/>
          <w:sz w:val="24"/>
          <w:szCs w:val="24"/>
          <w:bdr w:val="none" w:sz="0" w:space="0" w:color="auto" w:frame="1"/>
          <w:lang w:eastAsia="de-DE"/>
        </w:rPr>
        <w:t>zB</w:t>
      </w:r>
      <w:proofErr w:type="spellEnd"/>
      <w:r w:rsidRPr="00346CCA">
        <w:rPr>
          <w:rFonts w:eastAsia="Times New Roman" w:cstheme="minorHAnsi"/>
          <w:color w:val="000000"/>
          <w:sz w:val="24"/>
          <w:szCs w:val="24"/>
          <w:bdr w:val="none" w:sz="0" w:space="0" w:color="auto" w:frame="1"/>
          <w:lang w:eastAsia="de-DE"/>
        </w:rPr>
        <w:t xml:space="preserve"> in Matthäus 5, 17ff in den </w:t>
      </w:r>
      <w:proofErr w:type="spellStart"/>
      <w:r w:rsidRPr="00346CCA">
        <w:rPr>
          <w:rFonts w:eastAsia="Times New Roman" w:cstheme="minorHAnsi"/>
          <w:color w:val="000000"/>
          <w:sz w:val="24"/>
          <w:szCs w:val="24"/>
          <w:bdr w:val="none" w:sz="0" w:space="0" w:color="auto" w:frame="1"/>
          <w:lang w:eastAsia="de-DE"/>
        </w:rPr>
        <w:t>sog</w:t>
      </w:r>
      <w:proofErr w:type="spellEnd"/>
      <w:r w:rsidRPr="00346CCA">
        <w:rPr>
          <w:rFonts w:eastAsia="Times New Roman" w:cstheme="minorHAnsi"/>
          <w:color w:val="000000"/>
          <w:sz w:val="24"/>
          <w:szCs w:val="24"/>
          <w:bdr w:val="none" w:sz="0" w:space="0" w:color="auto" w:frame="1"/>
          <w:lang w:eastAsia="de-DE"/>
        </w:rPr>
        <w:t xml:space="preserve"> Antithesen. Das Neue Testament hat sich so, z.B. im Matthäusevangelium,</w:t>
      </w:r>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000000"/>
          <w:sz w:val="24"/>
          <w:szCs w:val="24"/>
          <w:bdr w:val="none" w:sz="0" w:space="0" w:color="auto" w:frame="1"/>
          <w:lang w:eastAsia="de-DE"/>
        </w:rPr>
        <w:t>als </w:t>
      </w:r>
      <w:r w:rsidRPr="00346CCA">
        <w:rPr>
          <w:rFonts w:eastAsia="Times New Roman" w:cstheme="minorHAnsi"/>
          <w:i/>
          <w:iCs/>
          <w:color w:val="000000"/>
          <w:sz w:val="24"/>
          <w:szCs w:val="24"/>
          <w:bdr w:val="none" w:sz="0" w:space="0" w:color="auto" w:frame="1"/>
          <w:lang w:eastAsia="de-DE"/>
        </w:rPr>
        <w:t>Auslegung,</w:t>
      </w:r>
      <w:r w:rsidRPr="00346CCA">
        <w:rPr>
          <w:rFonts w:eastAsia="Times New Roman" w:cstheme="minorHAnsi"/>
          <w:color w:val="000000"/>
          <w:sz w:val="24"/>
          <w:szCs w:val="24"/>
          <w:bdr w:val="none" w:sz="0" w:space="0" w:color="auto" w:frame="1"/>
          <w:lang w:eastAsia="de-DE"/>
        </w:rPr>
        <w:t> nicht als</w:t>
      </w:r>
      <w:r w:rsidRPr="00346CCA">
        <w:rPr>
          <w:rFonts w:eastAsia="Times New Roman" w:cstheme="minorHAnsi"/>
          <w:i/>
          <w:iCs/>
          <w:color w:val="000000"/>
          <w:sz w:val="24"/>
          <w:szCs w:val="24"/>
          <w:bdr w:val="none" w:sz="0" w:space="0" w:color="auto" w:frame="1"/>
          <w:lang w:eastAsia="de-DE"/>
        </w:rPr>
        <w:t> Ersetzung</w:t>
      </w:r>
      <w:r w:rsidRPr="00346CCA">
        <w:rPr>
          <w:rFonts w:eastAsia="Times New Roman" w:cstheme="minorHAnsi"/>
          <w:color w:val="000000"/>
          <w:sz w:val="24"/>
          <w:szCs w:val="24"/>
          <w:bdr w:val="none" w:sz="0" w:space="0" w:color="auto" w:frame="1"/>
          <w:lang w:eastAsia="de-DE"/>
        </w:rPr>
        <w:t xml:space="preserve"> des AT verstanden. Dort ist Interpretation aktiv, wie vorher auch. Feindliche Töne kommen erst aus Profilierungssucht der sog "Kirchenväter" im 2. Jahrhundert zu Wort: Justin </w:t>
      </w:r>
      <w:proofErr w:type="spellStart"/>
      <w:r w:rsidRPr="00346CCA">
        <w:rPr>
          <w:rFonts w:eastAsia="Times New Roman" w:cstheme="minorHAnsi"/>
          <w:color w:val="000000"/>
          <w:sz w:val="24"/>
          <w:szCs w:val="24"/>
          <w:bdr w:val="none" w:sz="0" w:space="0" w:color="auto" w:frame="1"/>
          <w:lang w:eastAsia="de-DE"/>
        </w:rPr>
        <w:t>bsp</w:t>
      </w:r>
      <w:proofErr w:type="spellEnd"/>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000000"/>
          <w:sz w:val="24"/>
          <w:szCs w:val="24"/>
          <w:bdr w:val="none" w:sz="0" w:space="0" w:color="auto" w:frame="1"/>
          <w:lang w:eastAsia="de-DE"/>
        </w:rPr>
        <w:t xml:space="preserve">(100-165) schreibt: "Kein </w:t>
      </w:r>
      <w:r w:rsidRPr="00346CCA">
        <w:rPr>
          <w:rFonts w:eastAsia="Times New Roman" w:cstheme="minorHAnsi"/>
          <w:color w:val="000000"/>
          <w:sz w:val="24"/>
          <w:szCs w:val="24"/>
          <w:bdr w:val="none" w:sz="0" w:space="0" w:color="auto" w:frame="1"/>
          <w:lang w:eastAsia="de-DE"/>
        </w:rPr>
        <w:lastRenderedPageBreak/>
        <w:t xml:space="preserve">anderes Volk verhält sich so ungerecht gegen uns und gegen Christus wie ihr...Ihr leidet, euer Land ist wüst, Eure Städte zerstört-denn Ihr habt den Heiland getötet" (Dialog mit </w:t>
      </w:r>
      <w:proofErr w:type="spellStart"/>
      <w:r w:rsidRPr="00346CCA">
        <w:rPr>
          <w:rFonts w:eastAsia="Times New Roman" w:cstheme="minorHAnsi"/>
          <w:color w:val="000000"/>
          <w:sz w:val="24"/>
          <w:szCs w:val="24"/>
          <w:bdr w:val="none" w:sz="0" w:space="0" w:color="auto" w:frame="1"/>
          <w:lang w:eastAsia="de-DE"/>
        </w:rPr>
        <w:t>Tryphon</w:t>
      </w:r>
      <w:proofErr w:type="spellEnd"/>
      <w:r w:rsidRPr="00346CCA">
        <w:rPr>
          <w:rFonts w:eastAsia="Times New Roman" w:cstheme="minorHAnsi"/>
          <w:color w:val="000000"/>
          <w:sz w:val="24"/>
          <w:szCs w:val="24"/>
          <w:bdr w:val="none" w:sz="0" w:space="0" w:color="auto" w:frame="1"/>
          <w:lang w:eastAsia="de-DE"/>
        </w:rPr>
        <w:t>). </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242424"/>
          <w:sz w:val="24"/>
          <w:szCs w:val="24"/>
          <w:lang w:eastAsia="de-DE"/>
        </w:rPr>
        <w:t> </w:t>
      </w:r>
    </w:p>
    <w:p w:rsidR="00346CCA" w:rsidRDefault="00346CCA" w:rsidP="00346CCA">
      <w:pPr>
        <w:shd w:val="clear" w:color="auto" w:fill="FFFFFF"/>
        <w:spacing w:after="0" w:line="240" w:lineRule="auto"/>
        <w:rPr>
          <w:rFonts w:eastAsia="Times New Roman" w:cstheme="minorHAnsi"/>
          <w:color w:val="000000"/>
          <w:sz w:val="24"/>
          <w:szCs w:val="24"/>
          <w:bdr w:val="none" w:sz="0" w:space="0" w:color="auto" w:frame="1"/>
          <w:lang w:eastAsia="de-DE"/>
        </w:rPr>
      </w:pPr>
      <w:r w:rsidRPr="00346CCA">
        <w:rPr>
          <w:rFonts w:eastAsia="Times New Roman" w:cstheme="minorHAnsi"/>
          <w:color w:val="000000"/>
          <w:sz w:val="24"/>
          <w:szCs w:val="24"/>
          <w:bdr w:val="none" w:sz="0" w:space="0" w:color="auto" w:frame="1"/>
          <w:lang w:eastAsia="de-DE"/>
        </w:rPr>
        <w:t>Historisch haben die </w:t>
      </w:r>
      <w:r w:rsidRPr="00346CCA">
        <w:rPr>
          <w:rFonts w:eastAsia="Times New Roman" w:cstheme="minorHAnsi"/>
          <w:b/>
          <w:bCs/>
          <w:color w:val="000000"/>
          <w:sz w:val="24"/>
          <w:szCs w:val="24"/>
          <w:bdr w:val="none" w:sz="0" w:space="0" w:color="auto" w:frame="1"/>
          <w:lang w:eastAsia="de-DE"/>
        </w:rPr>
        <w:t>Römer</w:t>
      </w:r>
      <w:r w:rsidRPr="00346CCA">
        <w:rPr>
          <w:rFonts w:eastAsia="Times New Roman" w:cstheme="minorHAnsi"/>
          <w:color w:val="000000"/>
          <w:sz w:val="24"/>
          <w:szCs w:val="24"/>
          <w:bdr w:val="none" w:sz="0" w:space="0" w:color="auto" w:frame="1"/>
          <w:lang w:eastAsia="de-DE"/>
        </w:rPr>
        <w:t xml:space="preserve">, nicht die Juden Jesus gekreuzigt; so sehen es auch die Evangelien im </w:t>
      </w:r>
      <w:r>
        <w:rPr>
          <w:rFonts w:eastAsia="Times New Roman" w:cstheme="minorHAnsi"/>
          <w:color w:val="000000"/>
          <w:sz w:val="24"/>
          <w:szCs w:val="24"/>
          <w:bdr w:val="none" w:sz="0" w:space="0" w:color="auto" w:frame="1"/>
          <w:lang w:eastAsia="de-DE"/>
        </w:rPr>
        <w:t xml:space="preserve">Neuen Testament, s. </w:t>
      </w:r>
      <w:proofErr w:type="spellStart"/>
      <w:r>
        <w:rPr>
          <w:rFonts w:eastAsia="Times New Roman" w:cstheme="minorHAnsi"/>
          <w:color w:val="000000"/>
          <w:sz w:val="24"/>
          <w:szCs w:val="24"/>
          <w:bdr w:val="none" w:sz="0" w:space="0" w:color="auto" w:frame="1"/>
          <w:lang w:eastAsia="de-DE"/>
        </w:rPr>
        <w:t>Mt</w:t>
      </w:r>
      <w:proofErr w:type="spellEnd"/>
      <w:r>
        <w:rPr>
          <w:rFonts w:eastAsia="Times New Roman" w:cstheme="minorHAnsi"/>
          <w:color w:val="000000"/>
          <w:sz w:val="24"/>
          <w:szCs w:val="24"/>
          <w:bdr w:val="none" w:sz="0" w:space="0" w:color="auto" w:frame="1"/>
          <w:lang w:eastAsia="de-DE"/>
        </w:rPr>
        <w:t xml:space="preserve"> 27,24, </w:t>
      </w:r>
      <w:proofErr w:type="spellStart"/>
      <w:r>
        <w:rPr>
          <w:rFonts w:eastAsia="Times New Roman" w:cstheme="minorHAnsi"/>
          <w:color w:val="000000"/>
          <w:sz w:val="24"/>
          <w:szCs w:val="24"/>
          <w:bdr w:val="none" w:sz="0" w:space="0" w:color="auto" w:frame="1"/>
          <w:lang w:eastAsia="de-DE"/>
        </w:rPr>
        <w:t>Mk</w:t>
      </w:r>
      <w:proofErr w:type="spellEnd"/>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000000"/>
          <w:sz w:val="24"/>
          <w:szCs w:val="24"/>
          <w:bdr w:val="none" w:sz="0" w:space="0" w:color="auto" w:frame="1"/>
          <w:lang w:eastAsia="de-DE"/>
        </w:rPr>
        <w:t xml:space="preserve">5,15. </w:t>
      </w:r>
    </w:p>
    <w:p w:rsidR="00346CCA" w:rsidRDefault="00346CCA" w:rsidP="00346CCA">
      <w:pPr>
        <w:shd w:val="clear" w:color="auto" w:fill="FFFFFF"/>
        <w:spacing w:after="0" w:line="240" w:lineRule="auto"/>
        <w:rPr>
          <w:rFonts w:eastAsia="Times New Roman" w:cstheme="minorHAnsi"/>
          <w:color w:val="000000"/>
          <w:sz w:val="24"/>
          <w:szCs w:val="24"/>
          <w:bdr w:val="none" w:sz="0" w:space="0" w:color="auto" w:frame="1"/>
          <w:lang w:eastAsia="de-DE"/>
        </w:rPr>
      </w:pP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000000"/>
          <w:sz w:val="24"/>
          <w:szCs w:val="24"/>
          <w:bdr w:val="none" w:sz="0" w:space="0" w:color="auto" w:frame="1"/>
          <w:lang w:eastAsia="de-DE"/>
        </w:rPr>
        <w:t>2.) Ex 20, 1-4 enthält darüber hinaus die Aussage über die</w:t>
      </w:r>
      <w:r w:rsidRPr="00346CCA">
        <w:rPr>
          <w:rFonts w:eastAsia="Times New Roman" w:cstheme="minorHAnsi"/>
          <w:b/>
          <w:bCs/>
          <w:color w:val="000000"/>
          <w:sz w:val="24"/>
          <w:szCs w:val="24"/>
          <w:bdr w:val="none" w:sz="0" w:space="0" w:color="auto" w:frame="1"/>
          <w:lang w:eastAsia="de-DE"/>
        </w:rPr>
        <w:t> Befreiung</w:t>
      </w:r>
      <w:r w:rsidRPr="00346CCA">
        <w:rPr>
          <w:rFonts w:eastAsia="Times New Roman" w:cstheme="minorHAnsi"/>
          <w:color w:val="000000"/>
          <w:sz w:val="24"/>
          <w:szCs w:val="24"/>
          <w:bdr w:val="none" w:sz="0" w:space="0" w:color="auto" w:frame="1"/>
          <w:lang w:eastAsia="de-DE"/>
        </w:rPr>
        <w:t>  aus der Sklaverei, nicht aus eigener Macht, sondern als Tat Gottes. Im Kontext des Dekalogs , und dort als </w:t>
      </w:r>
      <w:r w:rsidRPr="00346CCA">
        <w:rPr>
          <w:rFonts w:eastAsia="Times New Roman" w:cstheme="minorHAnsi"/>
          <w:i/>
          <w:iCs/>
          <w:color w:val="000000"/>
          <w:sz w:val="24"/>
          <w:szCs w:val="24"/>
          <w:bdr w:val="none" w:sz="0" w:space="0" w:color="auto" w:frame="1"/>
          <w:lang w:eastAsia="de-DE"/>
        </w:rPr>
        <w:t>Rechts</w:t>
      </w:r>
      <w:r w:rsidRPr="00346CCA">
        <w:rPr>
          <w:rFonts w:eastAsia="Times New Roman" w:cstheme="minorHAnsi"/>
          <w:color w:val="000000"/>
          <w:sz w:val="24"/>
          <w:szCs w:val="24"/>
          <w:bdr w:val="none" w:sz="0" w:space="0" w:color="auto" w:frame="1"/>
          <w:lang w:eastAsia="de-DE"/>
        </w:rPr>
        <w:t>aussage ist somit für Israel die Befreiung als Volk aus der Sklaverei für immer konstitutiv. Dies hat Folgen für Israels Umgang mit allen anderen Völkern: darf es sie in der Folgezeit versklaven oder unterwerfen? Wie oben erwähnt, kann darauf nur Israel antworten!</w:t>
      </w:r>
      <w:r w:rsidRPr="00346CCA">
        <w:rPr>
          <w:rFonts w:eastAsia="Times New Roman" w:cstheme="minorHAnsi"/>
          <w:color w:val="000000"/>
          <w:sz w:val="24"/>
          <w:szCs w:val="24"/>
          <w:bdr w:val="none" w:sz="0" w:space="0" w:color="auto" w:frame="1"/>
          <w:lang w:eastAsia="de-DE"/>
        </w:rPr>
        <w:br/>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242424"/>
          <w:sz w:val="24"/>
          <w:szCs w:val="24"/>
          <w:lang w:eastAsia="de-DE"/>
        </w:rPr>
        <w:t> </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000000"/>
          <w:sz w:val="24"/>
          <w:szCs w:val="24"/>
          <w:bdr w:val="none" w:sz="0" w:space="0" w:color="auto" w:frame="1"/>
          <w:lang w:eastAsia="de-DE"/>
        </w:rPr>
        <w:t>3.)</w:t>
      </w:r>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000000"/>
          <w:sz w:val="24"/>
          <w:szCs w:val="24"/>
          <w:bdr w:val="none" w:sz="0" w:space="0" w:color="auto" w:frame="1"/>
          <w:lang w:eastAsia="de-DE"/>
        </w:rPr>
        <w:t>Das Verbot der </w:t>
      </w:r>
      <w:r w:rsidRPr="00346CCA">
        <w:rPr>
          <w:rFonts w:eastAsia="Times New Roman" w:cstheme="minorHAnsi"/>
          <w:i/>
          <w:iCs/>
          <w:color w:val="000000"/>
          <w:sz w:val="24"/>
          <w:szCs w:val="24"/>
          <w:bdr w:val="none" w:sz="0" w:space="0" w:color="auto" w:frame="1"/>
          <w:lang w:eastAsia="de-DE"/>
        </w:rPr>
        <w:t>Fremdkulte</w:t>
      </w:r>
      <w:r w:rsidRPr="00346CCA">
        <w:rPr>
          <w:rFonts w:eastAsia="Times New Roman" w:cstheme="minorHAnsi"/>
          <w:color w:val="000000"/>
          <w:sz w:val="24"/>
          <w:szCs w:val="24"/>
          <w:bdr w:val="none" w:sz="0" w:space="0" w:color="auto" w:frame="1"/>
          <w:lang w:eastAsia="de-DE"/>
        </w:rPr>
        <w:t> </w:t>
      </w:r>
      <w:r>
        <w:rPr>
          <w:rFonts w:eastAsia="Times New Roman" w:cstheme="minorHAnsi"/>
          <w:color w:val="000000"/>
          <w:sz w:val="24"/>
          <w:szCs w:val="24"/>
          <w:bdr w:val="none" w:sz="0" w:space="0" w:color="auto" w:frame="1"/>
          <w:lang w:eastAsia="de-DE"/>
        </w:rPr>
        <w:t xml:space="preserve"> </w:t>
      </w:r>
      <w:r w:rsidRPr="00346CCA">
        <w:rPr>
          <w:rFonts w:eastAsia="Times New Roman" w:cstheme="minorHAnsi"/>
          <w:color w:val="000000"/>
          <w:sz w:val="24"/>
          <w:szCs w:val="24"/>
          <w:bdr w:val="none" w:sz="0" w:space="0" w:color="auto" w:frame="1"/>
          <w:lang w:eastAsia="de-DE"/>
        </w:rPr>
        <w:t>bedeutet im Kontext der damaligen Formulierung, dass diese nicht konstitutiv für Israel</w:t>
      </w:r>
      <w:r w:rsidRPr="00346CCA">
        <w:rPr>
          <w:rFonts w:eastAsia="Times New Roman" w:cstheme="minorHAnsi"/>
          <w:i/>
          <w:iCs/>
          <w:color w:val="000000"/>
          <w:sz w:val="24"/>
          <w:szCs w:val="24"/>
          <w:bdr w:val="none" w:sz="0" w:space="0" w:color="auto" w:frame="1"/>
          <w:lang w:eastAsia="de-DE"/>
        </w:rPr>
        <w:t> selber</w:t>
      </w:r>
      <w:r w:rsidRPr="00346CCA">
        <w:rPr>
          <w:rFonts w:eastAsia="Times New Roman" w:cstheme="minorHAnsi"/>
          <w:color w:val="000000"/>
          <w:sz w:val="24"/>
          <w:szCs w:val="24"/>
          <w:bdr w:val="none" w:sz="0" w:space="0" w:color="auto" w:frame="1"/>
          <w:lang w:eastAsia="de-DE"/>
        </w:rPr>
        <w:t> sein sollen. Die Zerstörung von Kultdenkmälern </w:t>
      </w:r>
      <w:r w:rsidRPr="00346CCA">
        <w:rPr>
          <w:rFonts w:eastAsia="Times New Roman" w:cstheme="minorHAnsi"/>
          <w:i/>
          <w:iCs/>
          <w:color w:val="000000"/>
          <w:sz w:val="24"/>
          <w:szCs w:val="24"/>
          <w:bdr w:val="none" w:sz="0" w:space="0" w:color="auto" w:frame="1"/>
          <w:lang w:eastAsia="de-DE"/>
        </w:rPr>
        <w:t>anderer</w:t>
      </w:r>
      <w:r w:rsidRPr="00346CCA">
        <w:rPr>
          <w:rFonts w:eastAsia="Times New Roman" w:cstheme="minorHAnsi"/>
          <w:color w:val="000000"/>
          <w:sz w:val="24"/>
          <w:szCs w:val="24"/>
          <w:bdr w:val="none" w:sz="0" w:space="0" w:color="auto" w:frame="1"/>
          <w:lang w:eastAsia="de-DE"/>
        </w:rPr>
        <w:t> Völker jedoch, wie in der Überarbeitung des Gottesrechts durch die deuteronomistische Redaktion gefordert, sind dem Gotteskult Jahwes fremd: s. </w:t>
      </w:r>
      <w:r w:rsidRPr="00346CCA">
        <w:rPr>
          <w:rFonts w:eastAsia="Times New Roman" w:cstheme="minorHAnsi"/>
          <w:color w:val="242424"/>
          <w:sz w:val="24"/>
          <w:szCs w:val="24"/>
          <w:bdr w:val="none" w:sz="0" w:space="0" w:color="auto" w:frame="1"/>
          <w:lang w:eastAsia="de-DE"/>
        </w:rPr>
        <w:t>den Ku</w:t>
      </w:r>
      <w:r>
        <w:rPr>
          <w:rFonts w:eastAsia="Times New Roman" w:cstheme="minorHAnsi"/>
          <w:color w:val="242424"/>
          <w:sz w:val="24"/>
          <w:szCs w:val="24"/>
          <w:bdr w:val="none" w:sz="0" w:space="0" w:color="auto" w:frame="1"/>
          <w:lang w:eastAsia="de-DE"/>
        </w:rPr>
        <w:t>lt der Astarte/"</w:t>
      </w:r>
      <w:proofErr w:type="spellStart"/>
      <w:r>
        <w:rPr>
          <w:rFonts w:eastAsia="Times New Roman" w:cstheme="minorHAnsi"/>
          <w:color w:val="242424"/>
          <w:sz w:val="24"/>
          <w:szCs w:val="24"/>
          <w:bdr w:val="none" w:sz="0" w:space="0" w:color="auto" w:frame="1"/>
          <w:lang w:eastAsia="de-DE"/>
        </w:rPr>
        <w:t>Aschera</w:t>
      </w:r>
      <w:proofErr w:type="spellEnd"/>
      <w:r>
        <w:rPr>
          <w:rFonts w:eastAsia="Times New Roman" w:cstheme="minorHAnsi"/>
          <w:color w:val="242424"/>
          <w:sz w:val="24"/>
          <w:szCs w:val="24"/>
          <w:bdr w:val="none" w:sz="0" w:space="0" w:color="auto" w:frame="1"/>
          <w:lang w:eastAsia="de-DE"/>
        </w:rPr>
        <w:t>" Frucht</w:t>
      </w:r>
      <w:r w:rsidRPr="00346CCA">
        <w:rPr>
          <w:rFonts w:eastAsia="Times New Roman" w:cstheme="minorHAnsi"/>
          <w:color w:val="242424"/>
          <w:sz w:val="24"/>
          <w:szCs w:val="24"/>
          <w:bdr w:val="none" w:sz="0" w:space="0" w:color="auto" w:frame="1"/>
          <w:lang w:eastAsia="de-DE"/>
        </w:rPr>
        <w:t xml:space="preserve">barkeitsgöttin und Ehefrau des Baal, die von Elia nach deuteronomistischer Überlieferung bekämpft wurde, 1. </w:t>
      </w:r>
      <w:proofErr w:type="spellStart"/>
      <w:r w:rsidRPr="00346CCA">
        <w:rPr>
          <w:rFonts w:eastAsia="Times New Roman" w:cstheme="minorHAnsi"/>
          <w:color w:val="242424"/>
          <w:sz w:val="24"/>
          <w:szCs w:val="24"/>
          <w:bdr w:val="none" w:sz="0" w:space="0" w:color="auto" w:frame="1"/>
          <w:lang w:eastAsia="de-DE"/>
        </w:rPr>
        <w:t>Kö</w:t>
      </w:r>
      <w:proofErr w:type="spellEnd"/>
      <w:r w:rsidRPr="00346CCA">
        <w:rPr>
          <w:rFonts w:eastAsia="Times New Roman" w:cstheme="minorHAnsi"/>
          <w:color w:val="242424"/>
          <w:sz w:val="24"/>
          <w:szCs w:val="24"/>
          <w:bdr w:val="none" w:sz="0" w:space="0" w:color="auto" w:frame="1"/>
          <w:lang w:eastAsia="de-DE"/>
        </w:rPr>
        <w:t xml:space="preserve"> 18 19ff, im Orient un</w:t>
      </w:r>
      <w:r>
        <w:rPr>
          <w:rFonts w:eastAsia="Times New Roman" w:cstheme="minorHAnsi"/>
          <w:color w:val="242424"/>
          <w:sz w:val="24"/>
          <w:szCs w:val="24"/>
          <w:bdr w:val="none" w:sz="0" w:space="0" w:color="auto" w:frame="1"/>
          <w:lang w:eastAsia="de-DE"/>
        </w:rPr>
        <w:t>d bis nach Griechenland bekannt</w:t>
      </w:r>
      <w:r w:rsidRPr="00346CCA">
        <w:rPr>
          <w:rFonts w:eastAsia="Times New Roman" w:cstheme="minorHAnsi"/>
          <w:color w:val="242424"/>
          <w:sz w:val="24"/>
          <w:szCs w:val="24"/>
          <w:bdr w:val="none" w:sz="0" w:space="0" w:color="auto" w:frame="1"/>
          <w:lang w:eastAsia="de-DE"/>
        </w:rPr>
        <w:t>.</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242424"/>
          <w:sz w:val="24"/>
          <w:szCs w:val="24"/>
          <w:lang w:eastAsia="de-DE"/>
        </w:rPr>
        <w:t> </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242424"/>
          <w:sz w:val="24"/>
          <w:szCs w:val="24"/>
          <w:bdr w:val="none" w:sz="0" w:space="0" w:color="auto" w:frame="1"/>
          <w:lang w:eastAsia="de-DE"/>
        </w:rPr>
        <w:t>Homiletisch könnte dies zur Aufklärung beitragen.</w:t>
      </w:r>
    </w:p>
    <w:p w:rsidR="00346CCA" w:rsidRPr="00346CCA" w:rsidRDefault="00346CCA" w:rsidP="00346CCA">
      <w:pPr>
        <w:shd w:val="clear" w:color="auto" w:fill="FFFFFF"/>
        <w:spacing w:after="0" w:line="240" w:lineRule="auto"/>
        <w:rPr>
          <w:rFonts w:eastAsia="Times New Roman" w:cstheme="minorHAnsi"/>
          <w:color w:val="242424"/>
          <w:sz w:val="24"/>
          <w:szCs w:val="24"/>
          <w:lang w:eastAsia="de-DE"/>
        </w:rPr>
      </w:pPr>
      <w:r w:rsidRPr="00346CCA">
        <w:rPr>
          <w:rFonts w:eastAsia="Times New Roman" w:cstheme="minorHAnsi"/>
          <w:color w:val="242424"/>
          <w:sz w:val="24"/>
          <w:szCs w:val="24"/>
          <w:lang w:eastAsia="de-DE"/>
        </w:rPr>
        <w:t> </w:t>
      </w:r>
    </w:p>
    <w:p w:rsidR="00635EF2" w:rsidRPr="00346CCA" w:rsidRDefault="00346CCA">
      <w:pPr>
        <w:rPr>
          <w:rFonts w:cstheme="minorHAnsi"/>
          <w:sz w:val="24"/>
          <w:szCs w:val="24"/>
        </w:rPr>
      </w:pPr>
    </w:p>
    <w:sectPr w:rsidR="00635EF2" w:rsidRPr="00346C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CA"/>
    <w:rsid w:val="00346CCA"/>
    <w:rsid w:val="008D7D27"/>
    <w:rsid w:val="00930D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CC64"/>
  <w15:chartTrackingRefBased/>
  <w15:docId w15:val="{DC0FFF5B-C5D6-4CF8-8968-6DB8F7DF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46C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46CCA"/>
    <w:rPr>
      <w:i/>
      <w:iCs/>
    </w:rPr>
  </w:style>
  <w:style w:type="character" w:styleId="Fett">
    <w:name w:val="Strong"/>
    <w:basedOn w:val="Absatz-Standardschriftart"/>
    <w:uiPriority w:val="22"/>
    <w:qFormat/>
    <w:rsid w:val="00346CCA"/>
    <w:rPr>
      <w:b/>
      <w:bCs/>
    </w:rPr>
  </w:style>
  <w:style w:type="paragraph" w:styleId="Listenabsatz">
    <w:name w:val="List Paragraph"/>
    <w:basedOn w:val="Standard"/>
    <w:uiPriority w:val="34"/>
    <w:qFormat/>
    <w:rsid w:val="0034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3771">
      <w:bodyDiv w:val="1"/>
      <w:marLeft w:val="0"/>
      <w:marRight w:val="0"/>
      <w:marTop w:val="0"/>
      <w:marBottom w:val="0"/>
      <w:divBdr>
        <w:top w:val="none" w:sz="0" w:space="0" w:color="auto"/>
        <w:left w:val="none" w:sz="0" w:space="0" w:color="auto"/>
        <w:bottom w:val="none" w:sz="0" w:space="0" w:color="auto"/>
        <w:right w:val="none" w:sz="0" w:space="0" w:color="auto"/>
      </w:divBdr>
      <w:divsChild>
        <w:div w:id="1108501049">
          <w:marLeft w:val="0"/>
          <w:marRight w:val="0"/>
          <w:marTop w:val="0"/>
          <w:marBottom w:val="0"/>
          <w:divBdr>
            <w:top w:val="none" w:sz="0" w:space="0" w:color="auto"/>
            <w:left w:val="none" w:sz="0" w:space="0" w:color="auto"/>
            <w:bottom w:val="none" w:sz="0" w:space="0" w:color="auto"/>
            <w:right w:val="none" w:sz="0" w:space="0" w:color="auto"/>
          </w:divBdr>
          <w:divsChild>
            <w:div w:id="329211362">
              <w:marLeft w:val="0"/>
              <w:marRight w:val="0"/>
              <w:marTop w:val="0"/>
              <w:marBottom w:val="0"/>
              <w:divBdr>
                <w:top w:val="none" w:sz="0" w:space="0" w:color="auto"/>
                <w:left w:val="none" w:sz="0" w:space="0" w:color="auto"/>
                <w:bottom w:val="none" w:sz="0" w:space="0" w:color="auto"/>
                <w:right w:val="none" w:sz="0" w:space="0" w:color="auto"/>
              </w:divBdr>
            </w:div>
            <w:div w:id="1051878705">
              <w:marLeft w:val="0"/>
              <w:marRight w:val="0"/>
              <w:marTop w:val="0"/>
              <w:marBottom w:val="0"/>
              <w:divBdr>
                <w:top w:val="none" w:sz="0" w:space="0" w:color="auto"/>
                <w:left w:val="none" w:sz="0" w:space="0" w:color="auto"/>
                <w:bottom w:val="none" w:sz="0" w:space="0" w:color="auto"/>
                <w:right w:val="none" w:sz="0" w:space="0" w:color="auto"/>
              </w:divBdr>
            </w:div>
            <w:div w:id="8829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Niethammer, Ute</dc:creator>
  <cp:keywords/>
  <dc:description/>
  <cp:lastModifiedBy>Niethammer, Ute</cp:lastModifiedBy>
  <cp:revision>1</cp:revision>
  <dcterms:created xsi:type="dcterms:W3CDTF">2023-09-20T08:09:00Z</dcterms:created>
  <dcterms:modified xsi:type="dcterms:W3CDTF">2023-09-20T08:15:00Z</dcterms:modified>
</cp:coreProperties>
</file>