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C" w:rsidRPr="005F3F0C" w:rsidRDefault="005F3F0C" w:rsidP="005F3F0C">
      <w:pPr>
        <w:pBdr>
          <w:bottom w:val="single" w:sz="12" w:space="1" w:color="auto"/>
        </w:pBd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19. nach Trinitatis, Jak 5, 13-16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L. 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Ossa</w:t>
      </w:r>
      <w:proofErr w:type="spellEnd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: 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In dem Abschnitt geht es hauptsächlich darum, Menschen mit einem Problem nicht zu i</w:t>
      </w:r>
      <w:r w:rsidRPr="005F3F0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de-DE"/>
        </w:rPr>
        <w:t>solieren:</w:t>
      </w:r>
      <w:r w:rsidRPr="005F3F0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de-DE"/>
        </w:rPr>
        <w:br/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 V13: Kranke sollten zum Gebet, also Psalmen, finden, und wenn sie geheilt werden, dies in Psalmen feiern; dies deutet b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e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reits auf ein gemeinsames Gebet hin.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 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V14: Ebenso sind die "Ältesten", also die  gewählten Gemeindeleitenden, zusammengerufen, die Kranken zu "salben", 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dh</w:t>
      </w:r>
      <w:proofErr w:type="spellEnd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 wie altt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e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stamentliche  Könige, zu parfümieren, und zwar im Namen des Herrn, also des 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κΰριος</w:t>
      </w:r>
      <w:proofErr w:type="spellEnd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 (=Gott oder aber des auferstandenen  Christus) und in deren Gegenwart um Heilung zu bitten.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Segoe UI"/>
          <w:color w:val="424242"/>
          <w:sz w:val="24"/>
          <w:szCs w:val="24"/>
          <w:lang w:eastAsia="de-DE"/>
        </w:rPr>
        <w:t> 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V15 etwas  zweideutig die Aussage: Gott wird die Kranken "retten"  = (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σώσει</w:t>
      </w:r>
      <w:proofErr w:type="spellEnd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)und sie "auferstehen lassen" =(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έΥεiρειν</w:t>
      </w:r>
      <w:proofErr w:type="spellEnd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):offenbar wird hier ein individueller Heilungsvorgang der Rettung und Auferstehung Jesu angeglichen, samt Sündenvergebung.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Segoe UI"/>
          <w:color w:val="424242"/>
          <w:sz w:val="24"/>
          <w:szCs w:val="24"/>
          <w:lang w:eastAsia="de-DE"/>
        </w:rPr>
        <w:t> 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V16: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Heilung wird  nicht als ein rein medizinischer Vorgang, wie meist in der gegenwärtigen Medizin, verstanden, sondern als eine Aufgabe der Gemeinde als Ganzer, verbunden mit dem Gottes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d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ienst und sogar als liturgische Handlung.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 xml:space="preserve">Moderne Medizin, </w:t>
      </w:r>
      <w:proofErr w:type="spellStart"/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zB</w:t>
      </w:r>
      <w:proofErr w:type="spellEnd"/>
      <w:r w:rsidRPr="005F3F0C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de-DE"/>
        </w:rPr>
        <w:t> psychoanalytische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 Gruppentherapie, begreif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t Behandlung von Patient*Innen 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auch als einen kollektiven Vorgang; das Gebet für Kranke ist darüber hinaus ein Bestandteil des Gottesdienstes oder sollte es sein.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Segoe UI"/>
          <w:color w:val="424242"/>
          <w:sz w:val="24"/>
          <w:szCs w:val="24"/>
          <w:lang w:eastAsia="de-DE"/>
        </w:rPr>
        <w:t> </w:t>
      </w:r>
    </w:p>
    <w:p w:rsidR="005F3F0C" w:rsidRPr="005F3F0C" w:rsidRDefault="005F3F0C" w:rsidP="005F3F0C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Dies als Anregung für den Gottesdienst mit diesem Text und als Anregung für die "Ältesten" : sie sollten ihre Aufgabe auch in der G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esundung der Gemeinden sehen un</w:t>
      </w:r>
      <w:r w:rsidRPr="005F3F0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de-DE"/>
        </w:rPr>
        <w:t>d nicht allein in der Verwaltung von deren Haushalt.</w:t>
      </w:r>
    </w:p>
    <w:p w:rsidR="005F3F0C" w:rsidRPr="005F3F0C" w:rsidRDefault="005F3F0C" w:rsidP="005F3F0C">
      <w:pPr>
        <w:shd w:val="clear" w:color="auto" w:fill="FAFAFA"/>
        <w:spacing w:after="15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de-DE"/>
        </w:rPr>
      </w:pPr>
      <w:r w:rsidRPr="005F3F0C">
        <w:rPr>
          <w:rFonts w:ascii="Tahoma" w:eastAsia="Times New Roman" w:hAnsi="Tahoma" w:cs="Tahoma"/>
          <w:color w:val="424242"/>
          <w:sz w:val="24"/>
          <w:szCs w:val="24"/>
          <w:lang w:eastAsia="de-DE"/>
        </w:rPr>
        <w:t>﻿</w:t>
      </w:r>
    </w:p>
    <w:p w:rsidR="00635EF2" w:rsidRPr="005F3F0C" w:rsidRDefault="005F3F0C">
      <w:pPr>
        <w:rPr>
          <w:sz w:val="24"/>
          <w:szCs w:val="24"/>
        </w:rPr>
      </w:pPr>
      <w:bookmarkStart w:id="0" w:name="_GoBack"/>
      <w:bookmarkEnd w:id="0"/>
    </w:p>
    <w:sectPr w:rsidR="00635EF2" w:rsidRPr="005F3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5F3F0C"/>
    <w:rsid w:val="008D7D27"/>
    <w:rsid w:val="009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0C43"/>
  <w15:chartTrackingRefBased/>
  <w15:docId w15:val="{7C17F3F2-5B24-4E2B-B79C-36C8EF38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F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F3F0C"/>
    <w:rPr>
      <w:i/>
      <w:iCs/>
    </w:rPr>
  </w:style>
  <w:style w:type="character" w:customStyle="1" w:styleId="flwlv">
    <w:name w:val="flwlv"/>
    <w:basedOn w:val="Absatz-Standardschriftart"/>
    <w:rsid w:val="005F3F0C"/>
  </w:style>
  <w:style w:type="character" w:customStyle="1" w:styleId="ms-button-label">
    <w:name w:val="ms-button-label"/>
    <w:basedOn w:val="Absatz-Standardschriftart"/>
    <w:rsid w:val="005F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694">
              <w:marLeft w:val="120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2853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22143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Niethammer, Ute</dc:creator>
  <cp:keywords/>
  <dc:description/>
  <cp:lastModifiedBy>Niethammer, Ute</cp:lastModifiedBy>
  <cp:revision>1</cp:revision>
  <dcterms:created xsi:type="dcterms:W3CDTF">2023-09-27T08:20:00Z</dcterms:created>
  <dcterms:modified xsi:type="dcterms:W3CDTF">2023-09-27T08:22:00Z</dcterms:modified>
</cp:coreProperties>
</file>